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D383C" w:rsidRDefault="00EC5011" w:rsidP="00D25107">
      <w:pPr>
        <w:rPr>
          <w:b/>
        </w:rPr>
      </w:pPr>
      <w:bookmarkStart w:id="0" w:name="_Hlk525421178"/>
      <w:r w:rsidRPr="00FD383C">
        <w:rPr>
          <w:b/>
        </w:rPr>
        <w:t xml:space="preserve">          </w:t>
      </w:r>
      <w:r w:rsidR="00D25107" w:rsidRPr="00FD383C">
        <w:rPr>
          <w:b/>
        </w:rPr>
        <w:t xml:space="preserve">                    </w:t>
      </w:r>
    </w:p>
    <w:p w14:paraId="10E86965" w14:textId="1BAAD499" w:rsidR="00D25107" w:rsidRPr="00FD383C" w:rsidRDefault="00863415" w:rsidP="00D664D1">
      <w:pPr>
        <w:jc w:val="right"/>
        <w:rPr>
          <w:b/>
        </w:rPr>
      </w:pPr>
      <w:r w:rsidRPr="00FD383C">
        <w:rPr>
          <w:b/>
        </w:rPr>
        <w:t>... / … / 202</w:t>
      </w:r>
      <w:r w:rsidR="00DC21B2" w:rsidRPr="00FD383C">
        <w:rPr>
          <w:b/>
        </w:rPr>
        <w:t>5</w:t>
      </w:r>
    </w:p>
    <w:p w14:paraId="3F1FF194" w14:textId="77777777" w:rsidR="00020B87" w:rsidRPr="00FD383C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FD383C" w:rsidRDefault="00990C09" w:rsidP="00D664D1">
      <w:pPr>
        <w:jc w:val="center"/>
        <w:rPr>
          <w:b/>
        </w:rPr>
      </w:pPr>
      <w:r w:rsidRPr="00FD383C">
        <w:rPr>
          <w:b/>
        </w:rPr>
        <w:t>HAYAT BİLGİSİ</w:t>
      </w:r>
      <w:r w:rsidR="00020B87" w:rsidRPr="00FD383C">
        <w:rPr>
          <w:b/>
        </w:rPr>
        <w:t xml:space="preserve"> DERSİ GÜNLÜK DERS PLANI</w:t>
      </w:r>
    </w:p>
    <w:p w14:paraId="1B3F8EA2" w14:textId="63CEA657" w:rsidR="00706E39" w:rsidRPr="00FD383C" w:rsidRDefault="00706E39" w:rsidP="00706E39">
      <w:pPr>
        <w:jc w:val="center"/>
        <w:rPr>
          <w:b/>
        </w:rPr>
      </w:pPr>
      <w:r w:rsidRPr="00FD383C">
        <w:rPr>
          <w:b/>
        </w:rPr>
        <w:t xml:space="preserve">(HAFTA </w:t>
      </w:r>
      <w:r w:rsidR="006D1154" w:rsidRPr="00FD383C">
        <w:rPr>
          <w:b/>
        </w:rPr>
        <w:t>30</w:t>
      </w:r>
      <w:r w:rsidR="00607CDD" w:rsidRPr="00FD383C">
        <w:rPr>
          <w:b/>
        </w:rPr>
        <w:t xml:space="preserve"> </w:t>
      </w:r>
      <w:r w:rsidRPr="00FD383C">
        <w:rPr>
          <w:b/>
        </w:rPr>
        <w:t>)</w:t>
      </w:r>
      <w:r w:rsidR="00816D4C" w:rsidRPr="00FD383C">
        <w:rPr>
          <w:b/>
        </w:rPr>
        <w:t xml:space="preserve"> </w:t>
      </w:r>
      <w:r w:rsidR="00BA262A" w:rsidRPr="00FD383C">
        <w:rPr>
          <w:b/>
          <w:color w:val="FF0000"/>
        </w:rPr>
        <w:t>2</w:t>
      </w:r>
      <w:r w:rsidR="006D1154" w:rsidRPr="00FD383C">
        <w:rPr>
          <w:b/>
          <w:color w:val="FF0000"/>
        </w:rPr>
        <w:t>8</w:t>
      </w:r>
      <w:r w:rsidR="000E6BE2" w:rsidRPr="00FD383C">
        <w:rPr>
          <w:b/>
          <w:color w:val="FF0000"/>
        </w:rPr>
        <w:t xml:space="preserve"> NİSAN</w:t>
      </w:r>
      <w:r w:rsidR="006D1154" w:rsidRPr="00FD383C">
        <w:rPr>
          <w:b/>
          <w:color w:val="FF0000"/>
        </w:rPr>
        <w:t>-2 MAYIS</w:t>
      </w:r>
    </w:p>
    <w:p w14:paraId="704FA17C" w14:textId="77777777" w:rsidR="00020B87" w:rsidRPr="00FD383C" w:rsidRDefault="00020B87" w:rsidP="00020B87">
      <w:pPr>
        <w:tabs>
          <w:tab w:val="left" w:pos="1894"/>
        </w:tabs>
        <w:rPr>
          <w:b/>
        </w:rPr>
      </w:pPr>
      <w:r w:rsidRPr="00FD383C">
        <w:rPr>
          <w:b/>
        </w:rPr>
        <w:tab/>
      </w:r>
    </w:p>
    <w:p w14:paraId="39F2FA93" w14:textId="77777777" w:rsidR="00E251B6" w:rsidRPr="00FD383C" w:rsidRDefault="00E251B6" w:rsidP="00E251B6">
      <w:pPr>
        <w:rPr>
          <w:b/>
        </w:rPr>
      </w:pPr>
      <w:bookmarkStart w:id="2" w:name="_Hlk509301420"/>
      <w:r w:rsidRPr="00FD38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383C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D383C" w:rsidRDefault="00E251B6" w:rsidP="00042BEA">
            <w:pPr>
              <w:spacing w:line="220" w:lineRule="exact"/>
            </w:pPr>
            <w:bookmarkStart w:id="3" w:name="_Hlk525421145"/>
            <w:r w:rsidRPr="00FD38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FD383C" w:rsidRDefault="009C1680" w:rsidP="00042BEA">
            <w:pPr>
              <w:spacing w:line="220" w:lineRule="exact"/>
            </w:pPr>
            <w:r w:rsidRPr="00FD383C">
              <w:t>4</w:t>
            </w:r>
          </w:p>
        </w:tc>
      </w:tr>
      <w:tr w:rsidR="00E251B6" w:rsidRPr="00FD383C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D383C" w:rsidRDefault="00E251B6" w:rsidP="00042BEA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FD383C" w:rsidRDefault="00816D4C" w:rsidP="00042BEA">
            <w:pPr>
              <w:tabs>
                <w:tab w:val="left" w:pos="284"/>
              </w:tabs>
              <w:spacing w:line="240" w:lineRule="exact"/>
            </w:pPr>
            <w:r w:rsidRPr="00FD383C">
              <w:t>HAYAT BİLGİSİ</w:t>
            </w:r>
          </w:p>
        </w:tc>
      </w:tr>
      <w:tr w:rsidR="00E251B6" w:rsidRPr="00FD383C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D383C" w:rsidRDefault="00E251B6" w:rsidP="00042BEA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FD383C" w:rsidRDefault="00816D4C" w:rsidP="00042BEA">
            <w:pPr>
              <w:tabs>
                <w:tab w:val="left" w:pos="284"/>
              </w:tabs>
              <w:spacing w:line="240" w:lineRule="exact"/>
            </w:pPr>
            <w:r w:rsidRPr="00FD383C">
              <w:t>1</w:t>
            </w:r>
          </w:p>
        </w:tc>
      </w:tr>
      <w:tr w:rsidR="00E251B6" w:rsidRPr="00FD383C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D383C" w:rsidRDefault="00B2146D" w:rsidP="00042BEA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>TEMA</w:t>
            </w:r>
            <w:r w:rsidR="00E251B6" w:rsidRPr="00FD38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FD383C" w:rsidRDefault="002C1BB9" w:rsidP="00042BEA">
            <w:pPr>
              <w:tabs>
                <w:tab w:val="left" w:pos="284"/>
              </w:tabs>
              <w:spacing w:line="240" w:lineRule="exact"/>
            </w:pPr>
            <w:r w:rsidRPr="00FD383C">
              <w:rPr>
                <w:b/>
              </w:rPr>
              <w:t>DOĞA VE ÇEVRE</w:t>
            </w:r>
          </w:p>
        </w:tc>
      </w:tr>
      <w:tr w:rsidR="00931E2B" w:rsidRPr="00FD383C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FD383C" w:rsidRDefault="00931E2B" w:rsidP="00931E2B">
            <w:pPr>
              <w:spacing w:line="180" w:lineRule="exact"/>
              <w:rPr>
                <w:b/>
              </w:rPr>
            </w:pPr>
            <w:r w:rsidRPr="00FD38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F0A98C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Doğayı Gözlemleme</w:t>
            </w:r>
          </w:p>
          <w:p w14:paraId="3EA53654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Gök Cisimleri (Güneş, Dünya, Ay)</w:t>
            </w:r>
          </w:p>
          <w:p w14:paraId="6321FF84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Afetler</w:t>
            </w:r>
          </w:p>
          <w:p w14:paraId="2A546457" w14:textId="77777777" w:rsidR="006D1154" w:rsidRPr="00FD383C" w:rsidRDefault="006D1154" w:rsidP="006D115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Geri Dönüşüm</w:t>
            </w:r>
          </w:p>
          <w:p w14:paraId="77FF7C6E" w14:textId="029A1AFA" w:rsidR="00931E2B" w:rsidRPr="00FD383C" w:rsidRDefault="006D1154" w:rsidP="006D1154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b/>
                <w:sz w:val="20"/>
                <w:szCs w:val="20"/>
              </w:rPr>
              <w:t>(Atma Yazık Olur)</w:t>
            </w:r>
          </w:p>
        </w:tc>
      </w:tr>
      <w:bookmarkEnd w:id="3"/>
    </w:tbl>
    <w:p w14:paraId="2F1927CC" w14:textId="77777777" w:rsidR="00E251B6" w:rsidRPr="00FD383C" w:rsidRDefault="00E251B6" w:rsidP="00E251B6">
      <w:pPr>
        <w:ind w:firstLine="180"/>
        <w:rPr>
          <w:b/>
        </w:rPr>
      </w:pPr>
    </w:p>
    <w:p w14:paraId="731887E3" w14:textId="77777777" w:rsidR="00E251B6" w:rsidRPr="00FD383C" w:rsidRDefault="00E251B6" w:rsidP="00E251B6">
      <w:pPr>
        <w:ind w:firstLine="180"/>
        <w:rPr>
          <w:b/>
        </w:rPr>
      </w:pPr>
      <w:r w:rsidRPr="00FD38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FD383C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FD383C" w:rsidRDefault="001F2937" w:rsidP="001F2937">
            <w:pPr>
              <w:pStyle w:val="Balk1"/>
              <w:rPr>
                <w:sz w:val="20"/>
              </w:rPr>
            </w:pPr>
            <w:r w:rsidRPr="00FD383C">
              <w:rPr>
                <w:sz w:val="20"/>
              </w:rPr>
              <w:t>ÖĞRENME ÇIKTILARI</w:t>
            </w:r>
          </w:p>
          <w:p w14:paraId="249854B8" w14:textId="77777777" w:rsidR="001F2937" w:rsidRPr="00FD383C" w:rsidRDefault="001F2937" w:rsidP="001F2937">
            <w:pPr>
              <w:pStyle w:val="Balk1"/>
              <w:jc w:val="left"/>
              <w:rPr>
                <w:sz w:val="20"/>
              </w:rPr>
            </w:pPr>
            <w:r w:rsidRPr="00FD383C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76622" w14:textId="77777777" w:rsidR="002C1BB9" w:rsidRPr="00FD383C" w:rsidRDefault="006D1154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z w:val="20"/>
                <w:szCs w:val="20"/>
              </w:rPr>
              <w:t>HB.1.5.4. Geri dönüştürülebilen atıkları sınıflandırabilme</w:t>
            </w:r>
          </w:p>
          <w:p w14:paraId="2B8609C8" w14:textId="4D7E9B85" w:rsidR="006D1154" w:rsidRPr="00FD383C" w:rsidRDefault="006D1154" w:rsidP="006D1154">
            <w:pPr>
              <w:pStyle w:val="TableParagraph"/>
              <w:tabs>
                <w:tab w:val="left" w:pos="134"/>
              </w:tabs>
              <w:kinsoku w:val="0"/>
              <w:overflowPunct w:val="0"/>
              <w:spacing w:before="6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) Geri dönüştürülebilen atıkları belirler.</w:t>
            </w:r>
          </w:p>
          <w:p w14:paraId="503218EB" w14:textId="77777777" w:rsidR="006D1154" w:rsidRPr="00FD383C" w:rsidRDefault="006D1154" w:rsidP="006D1154">
            <w:pPr>
              <w:pStyle w:val="TableParagraph"/>
              <w:tabs>
                <w:tab w:val="left" w:pos="134"/>
              </w:tabs>
              <w:kinsoku w:val="0"/>
              <w:overflowPunct w:val="0"/>
              <w:spacing w:before="6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b) Geri dönüştürülebilen atıkları ayrıştırır. </w:t>
            </w:r>
          </w:p>
          <w:p w14:paraId="02F6ED77" w14:textId="2CF2D25A" w:rsidR="006D1154" w:rsidRPr="00FD383C" w:rsidRDefault="006D1154" w:rsidP="006D1154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FD383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c) Geri dönüştürülebilen atıkları adlandırır.</w:t>
            </w:r>
          </w:p>
        </w:tc>
      </w:tr>
      <w:tr w:rsidR="001F2937" w:rsidRPr="00FD383C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FD383C" w:rsidRDefault="001F2937" w:rsidP="001F2937">
            <w:pPr>
              <w:pStyle w:val="Balk2"/>
              <w:spacing w:line="240" w:lineRule="auto"/>
              <w:jc w:val="left"/>
            </w:pPr>
            <w:r w:rsidRPr="00FD383C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FD383C" w:rsidRDefault="001F2937" w:rsidP="001F2937">
            <w:r w:rsidRPr="00FD383C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FD383C" w:rsidRDefault="001F2937" w:rsidP="001F2937">
            <w:r w:rsidRPr="00FD383C">
              <w:t>9. Beyin fırtınası 10. Canlandırma 11. Grup çalışmaları 12. Oyunlar 13. Rol yapma 14. Canlandırma</w:t>
            </w:r>
          </w:p>
        </w:tc>
      </w:tr>
      <w:tr w:rsidR="001F2937" w:rsidRPr="00FD383C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FD383C" w:rsidRDefault="001F2937" w:rsidP="001F2937">
            <w:pPr>
              <w:pStyle w:val="Balk2"/>
              <w:spacing w:line="240" w:lineRule="auto"/>
              <w:jc w:val="left"/>
            </w:pPr>
            <w:r w:rsidRPr="00FD383C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t xml:space="preserve">A. Yazılı Kaynaklar </w:t>
            </w:r>
            <w:r w:rsidRPr="00FD383C">
              <w:t>1. Hayat Bilgisi Ders Kitabımız 2. Ansiklopediler 3. Güncel yayınlar 4. Öykü, hikâye kitapları</w:t>
            </w:r>
          </w:p>
          <w:p w14:paraId="08F25AF7" w14:textId="77777777" w:rsidR="001F2937" w:rsidRPr="00FD383C" w:rsidRDefault="001F2937" w:rsidP="001F2937">
            <w:r w:rsidRPr="00FD383C">
              <w:rPr>
                <w:b/>
              </w:rPr>
              <w:t xml:space="preserve">B. Kaynak kişiler </w:t>
            </w:r>
            <w:r w:rsidRPr="00FD383C">
              <w:t xml:space="preserve">1.Öğretmenler 2. Aile bireyleri </w:t>
            </w:r>
          </w:p>
          <w:p w14:paraId="795D5391" w14:textId="05A58769" w:rsidR="001F2937" w:rsidRPr="00FD383C" w:rsidRDefault="001F2937" w:rsidP="001F2937">
            <w:pPr>
              <w:rPr>
                <w:b/>
                <w:bCs/>
              </w:rPr>
            </w:pPr>
            <w:r w:rsidRPr="00FD383C">
              <w:rPr>
                <w:b/>
                <w:bCs/>
              </w:rPr>
              <w:t xml:space="preserve">C. Görsel Kaynaklar </w:t>
            </w:r>
            <w:r w:rsidRPr="00FD383C">
              <w:t>1. Video 2. Etkinlik örnekleri 3. Bilgisayar vb.</w:t>
            </w:r>
          </w:p>
          <w:p w14:paraId="6071A0F1" w14:textId="0C5BD30C" w:rsidR="001F2937" w:rsidRPr="00FD383C" w:rsidRDefault="001F2937" w:rsidP="001F2937">
            <w:r w:rsidRPr="00FD383C">
              <w:rPr>
                <w:b/>
              </w:rPr>
              <w:t>D.EBA</w:t>
            </w:r>
          </w:p>
        </w:tc>
      </w:tr>
      <w:tr w:rsidR="001F2937" w:rsidRPr="00FD383C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FD383C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383C">
              <w:t>Sınıf, Laboratuvar, Kütüphane, Bahçe</w:t>
            </w:r>
          </w:p>
        </w:tc>
      </w:tr>
      <w:tr w:rsidR="001F2937" w:rsidRPr="00FD383C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FD383C" w:rsidRDefault="001F2937" w:rsidP="001F2937">
            <w:pPr>
              <w:jc w:val="center"/>
              <w:rPr>
                <w:b/>
              </w:rPr>
            </w:pPr>
            <w:r w:rsidRPr="00FD383C">
              <w:rPr>
                <w:b/>
              </w:rPr>
              <w:t>ÖĞRENME-ÖĞRETME</w:t>
            </w:r>
          </w:p>
          <w:p w14:paraId="61F5B416" w14:textId="77777777" w:rsidR="001F2937" w:rsidRPr="00FD383C" w:rsidRDefault="001F2937" w:rsidP="001F2937">
            <w:pPr>
              <w:jc w:val="center"/>
            </w:pPr>
            <w:r w:rsidRPr="00FD383C">
              <w:rPr>
                <w:b/>
              </w:rPr>
              <w:t>YAŞANTILARI</w:t>
            </w:r>
          </w:p>
        </w:tc>
      </w:tr>
      <w:tr w:rsidR="001F2937" w:rsidRPr="00FD383C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FD383C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D383C">
              <w:rPr>
                <w:b/>
                <w:iCs/>
              </w:rPr>
              <w:t>ÖĞRENME-ÖĞRETME</w:t>
            </w:r>
          </w:p>
          <w:p w14:paraId="7CBF4987" w14:textId="77777777" w:rsidR="001F2937" w:rsidRPr="00FD383C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FD383C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A9EC13" w14:textId="2641D469" w:rsidR="00BA262A" w:rsidRPr="00FD383C" w:rsidRDefault="00C55FD4" w:rsidP="006D11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383C">
              <w:rPr>
                <w:iCs/>
                <w:sz w:val="20"/>
                <w:szCs w:val="20"/>
              </w:rPr>
              <w:t xml:space="preserve">(Sayfa </w:t>
            </w:r>
            <w:r w:rsidR="00BA262A" w:rsidRPr="00FD383C">
              <w:rPr>
                <w:iCs/>
                <w:sz w:val="20"/>
                <w:szCs w:val="20"/>
              </w:rPr>
              <w:t>7</w:t>
            </w:r>
            <w:r w:rsidR="006D1154" w:rsidRPr="00FD383C">
              <w:rPr>
                <w:iCs/>
                <w:sz w:val="20"/>
                <w:szCs w:val="20"/>
              </w:rPr>
              <w:t>4</w:t>
            </w:r>
            <w:r w:rsidR="00BA262A" w:rsidRPr="00FD383C">
              <w:rPr>
                <w:iCs/>
                <w:sz w:val="20"/>
                <w:szCs w:val="20"/>
              </w:rPr>
              <w:t>)</w:t>
            </w:r>
            <w:r w:rsidR="00BA262A" w:rsidRPr="00FD383C">
              <w:rPr>
                <w:sz w:val="20"/>
                <w:szCs w:val="20"/>
              </w:rPr>
              <w:t xml:space="preserve"> </w:t>
            </w:r>
            <w:r w:rsidR="006D1154" w:rsidRPr="00FD383C">
              <w:rPr>
                <w:sz w:val="20"/>
                <w:szCs w:val="20"/>
              </w:rPr>
              <w:t>Görseller incelenir. Sorular cevaplanır. Öğrenciler konuşturulur.</w:t>
            </w:r>
          </w:p>
          <w:p w14:paraId="013F71B9" w14:textId="4E72EC75" w:rsidR="006D1154" w:rsidRPr="00FD383C" w:rsidRDefault="006D1154" w:rsidP="006D11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383C">
              <w:rPr>
                <w:sz w:val="20"/>
                <w:szCs w:val="20"/>
              </w:rPr>
              <w:t>(Sayfa 75) Çöpteki Dayanışma metni okunur. Sorular cevaplanır. Anlama etkinlikleri yapılır.</w:t>
            </w:r>
          </w:p>
          <w:p w14:paraId="7F0C8645" w14:textId="11254506" w:rsidR="006D1154" w:rsidRPr="00FD383C" w:rsidRDefault="006D1154" w:rsidP="006D115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383C">
              <w:rPr>
                <w:sz w:val="20"/>
                <w:szCs w:val="20"/>
              </w:rPr>
              <w:t>(Sayfa 76-77) Hangi maddelerin geri dönüştürülebileceği hakkında konuşulur. Hangi maddelerin ne tür özelliklerde olduğu ve nasıl geri dönüştürülmesi gerektiği anlatılır.</w:t>
            </w:r>
            <w:r w:rsidR="00FD383C" w:rsidRPr="00FD383C">
              <w:rPr>
                <w:sz w:val="20"/>
                <w:szCs w:val="20"/>
              </w:rPr>
              <w:t xml:space="preserve"> </w:t>
            </w:r>
            <w:r w:rsidR="00FD383C" w:rsidRPr="00FD383C">
              <w:rPr>
                <w:sz w:val="20"/>
                <w:szCs w:val="20"/>
              </w:rPr>
              <w:t>Geri dönüştürülebilen atıkları sınıflandır</w:t>
            </w:r>
            <w:r w:rsidR="00FD383C">
              <w:rPr>
                <w:sz w:val="20"/>
                <w:szCs w:val="20"/>
              </w:rPr>
              <w:t>ma etkinlikleri yapılır.</w:t>
            </w:r>
            <w:r w:rsidRPr="00FD383C">
              <w:rPr>
                <w:sz w:val="20"/>
                <w:szCs w:val="20"/>
              </w:rPr>
              <w:t xml:space="preserve"> Ülkemizde uygulanan sıfır atık projesi hakkında konuşulur. Geri dönüşüm kutularının renkleri üzerinde durulur. Okulda ve </w:t>
            </w:r>
            <w:r w:rsidR="00FD383C" w:rsidRPr="00FD383C">
              <w:rPr>
                <w:sz w:val="20"/>
                <w:szCs w:val="20"/>
              </w:rPr>
              <w:t>çevrede yapılan</w:t>
            </w:r>
            <w:r w:rsidRPr="00FD383C">
              <w:rPr>
                <w:sz w:val="20"/>
                <w:szCs w:val="20"/>
              </w:rPr>
              <w:t xml:space="preserve"> geri dönüşüm ve atık toplama kampanyalarından bahsedilir.</w:t>
            </w:r>
          </w:p>
          <w:p w14:paraId="3ABCE92D" w14:textId="77777777" w:rsidR="00A939A5" w:rsidRPr="00FD383C" w:rsidRDefault="00A939A5" w:rsidP="00A939A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CB33B84" w14:textId="77777777" w:rsidR="002C1BB9" w:rsidRPr="00FD383C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FD383C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FD383C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FD383C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FD383C" w:rsidRDefault="001F2937" w:rsidP="001F2937">
            <w:pPr>
              <w:jc w:val="center"/>
              <w:rPr>
                <w:b/>
              </w:rPr>
            </w:pPr>
            <w:r w:rsidRPr="00FD383C">
              <w:rPr>
                <w:b/>
              </w:rPr>
              <w:t>FARKLILAŞTIRMA</w:t>
            </w:r>
          </w:p>
        </w:tc>
      </w:tr>
      <w:tr w:rsidR="001F2937" w:rsidRPr="00FD383C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4C9E3" w14:textId="77777777" w:rsidR="00A939A5" w:rsidRPr="00FD383C" w:rsidRDefault="00A939A5" w:rsidP="00A939A5">
            <w:r w:rsidRPr="00FD383C">
              <w:rPr>
                <w:b/>
              </w:rPr>
              <w:t>Zenginleştirme</w:t>
            </w:r>
            <w:r w:rsidRPr="00FD383C">
              <w:t xml:space="preserve"> Öğrencilerden doğayı gözlemlemeye yönelik etkinlikler planlamaları istenir.</w:t>
            </w:r>
          </w:p>
          <w:p w14:paraId="1A61C795" w14:textId="77777777" w:rsidR="00A939A5" w:rsidRPr="00FD383C" w:rsidRDefault="00A939A5" w:rsidP="00A939A5">
            <w:r w:rsidRPr="00FD383C">
              <w:t>Gök cisimleri ile ilgili çizimler yapmaları ya da zihin haritası oluşturmaları istenir.</w:t>
            </w:r>
          </w:p>
          <w:p w14:paraId="60783280" w14:textId="343268DC" w:rsidR="001F2937" w:rsidRPr="00FD383C" w:rsidRDefault="00A939A5" w:rsidP="00A939A5">
            <w:r w:rsidRPr="00FD383C">
              <w:t>Geri dönüşüm ve sürdürülebilirlik için geri dönüşüm atıklarını kullanarak özgün ürünler oluşturmaları ve sergilemeleri istenir</w:t>
            </w:r>
          </w:p>
          <w:p w14:paraId="7E363183" w14:textId="1F42478E" w:rsidR="001F2937" w:rsidRPr="00FD383C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59B197D4" w:rsidR="001F2937" w:rsidRPr="00FD383C" w:rsidRDefault="001F2937" w:rsidP="001F2937"/>
        </w:tc>
      </w:tr>
      <w:tr w:rsidR="001F2937" w:rsidRPr="00FD383C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FD383C" w:rsidRDefault="001F2937" w:rsidP="001F2937">
            <w:pPr>
              <w:rPr>
                <w:b/>
              </w:rPr>
            </w:pPr>
            <w:r w:rsidRPr="00FD383C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B88AF2" w14:textId="77777777" w:rsidR="00A939A5" w:rsidRPr="00FD383C" w:rsidRDefault="00A939A5" w:rsidP="00A939A5">
            <w:pPr>
              <w:rPr>
                <w:b/>
              </w:rPr>
            </w:pPr>
            <w:r w:rsidRPr="00FD383C">
              <w:rPr>
                <w:b/>
              </w:rPr>
              <w:t xml:space="preserve">Destekleme </w:t>
            </w:r>
          </w:p>
          <w:p w14:paraId="6AB0D0C5" w14:textId="0AB76393" w:rsidR="001F2937" w:rsidRPr="00FD383C" w:rsidRDefault="00A939A5" w:rsidP="00A939A5">
            <w:r w:rsidRPr="00FD383C">
              <w:t>Oyun hamuru ya da kilden gök cisimlerini modellemeleri istenir.</w:t>
            </w:r>
          </w:p>
        </w:tc>
      </w:tr>
    </w:tbl>
    <w:p w14:paraId="453CF514" w14:textId="77777777" w:rsidR="00E251B6" w:rsidRPr="00FD383C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FD383C" w:rsidRDefault="00E251B6" w:rsidP="00E251B6">
      <w:pPr>
        <w:pStyle w:val="Balk6"/>
        <w:ind w:firstLine="180"/>
        <w:rPr>
          <w:sz w:val="20"/>
        </w:rPr>
      </w:pPr>
      <w:r w:rsidRPr="00FD38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383C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D383C" w:rsidRDefault="0034109C" w:rsidP="0034109C">
            <w:pPr>
              <w:pStyle w:val="Balk1"/>
              <w:rPr>
                <w:sz w:val="20"/>
              </w:rPr>
            </w:pPr>
            <w:r w:rsidRPr="00FD383C">
              <w:rPr>
                <w:sz w:val="20"/>
              </w:rPr>
              <w:t>ÖĞRENME</w:t>
            </w:r>
            <w:r w:rsidR="008E4FF0" w:rsidRPr="00FD383C">
              <w:rPr>
                <w:sz w:val="20"/>
              </w:rPr>
              <w:t xml:space="preserve"> </w:t>
            </w:r>
            <w:r w:rsidRPr="00FD383C">
              <w:rPr>
                <w:sz w:val="20"/>
              </w:rPr>
              <w:t>KANITLARI</w:t>
            </w:r>
          </w:p>
          <w:p w14:paraId="3552BC3F" w14:textId="77777777" w:rsidR="00E251B6" w:rsidRPr="00FD383C" w:rsidRDefault="0034109C" w:rsidP="008E4FF0">
            <w:pPr>
              <w:pStyle w:val="Balk1"/>
              <w:rPr>
                <w:sz w:val="20"/>
              </w:rPr>
            </w:pPr>
            <w:r w:rsidRPr="00FD383C">
              <w:rPr>
                <w:sz w:val="20"/>
              </w:rPr>
              <w:t>(Ölçme ve</w:t>
            </w:r>
            <w:r w:rsidR="008E4FF0" w:rsidRPr="00FD383C">
              <w:rPr>
                <w:sz w:val="20"/>
              </w:rPr>
              <w:t xml:space="preserve"> </w:t>
            </w:r>
            <w:r w:rsidRPr="00FD383C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D383C" w:rsidRDefault="0020116A" w:rsidP="00CE5BAB">
            <w:r w:rsidRPr="00FD383C">
              <w:t>Defter kontrolü yapılır, gözlem formuna işlenir.</w:t>
            </w:r>
          </w:p>
          <w:p w14:paraId="74A0D609" w14:textId="77777777" w:rsidR="00863415" w:rsidRPr="00FD383C" w:rsidRDefault="00863415" w:rsidP="00863415">
            <w:r w:rsidRPr="00FD383C">
              <w:t>Öz Değerlendirme Formu</w:t>
            </w:r>
          </w:p>
          <w:p w14:paraId="59401FB6" w14:textId="77777777" w:rsidR="00863415" w:rsidRPr="00FD383C" w:rsidRDefault="00863415" w:rsidP="00863415">
            <w:r w:rsidRPr="00FD383C">
              <w:t>Tema Gözlem Formu</w:t>
            </w:r>
          </w:p>
          <w:p w14:paraId="0C0D807B" w14:textId="77777777" w:rsidR="00863415" w:rsidRPr="00FD383C" w:rsidRDefault="00863415" w:rsidP="00863415">
            <w:r w:rsidRPr="00FD383C">
              <w:t>Tema Değerlendirme Çalışmaları</w:t>
            </w:r>
          </w:p>
        </w:tc>
      </w:tr>
    </w:tbl>
    <w:p w14:paraId="0490192A" w14:textId="77777777" w:rsidR="00E251B6" w:rsidRPr="00FD383C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FD383C" w:rsidRDefault="00E251B6" w:rsidP="00E251B6">
      <w:pPr>
        <w:pStyle w:val="Balk6"/>
        <w:ind w:firstLine="180"/>
        <w:rPr>
          <w:sz w:val="20"/>
        </w:rPr>
      </w:pPr>
      <w:r w:rsidRPr="00FD383C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D383C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D383C" w:rsidRDefault="008E4FF0" w:rsidP="008E4FF0">
            <w:pPr>
              <w:rPr>
                <w:b/>
              </w:rPr>
            </w:pPr>
            <w:r w:rsidRPr="00FD383C">
              <w:rPr>
                <w:b/>
              </w:rPr>
              <w:t>ÖĞRETMEN YANSITMALARI</w:t>
            </w:r>
          </w:p>
          <w:p w14:paraId="2D9BE0DA" w14:textId="77777777" w:rsidR="008E4FF0" w:rsidRPr="00FD383C" w:rsidRDefault="008E4FF0" w:rsidP="008E4FF0">
            <w:pPr>
              <w:rPr>
                <w:b/>
              </w:rPr>
            </w:pPr>
          </w:p>
          <w:p w14:paraId="500DCF3B" w14:textId="77777777" w:rsidR="008E4FF0" w:rsidRPr="00FD383C" w:rsidRDefault="008E4FF0" w:rsidP="008E4FF0">
            <w:r w:rsidRPr="00FD383C">
              <w:t>(Karşılaşılan sorunlar, özel hâller, öneriler, iyileştirmeler )</w:t>
            </w:r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FD383C" w:rsidRDefault="00D64BAB" w:rsidP="00863415">
            <w:r w:rsidRPr="00FD383C">
              <w:t xml:space="preserve">Bu bölüm öğretmen tarafından </w:t>
            </w:r>
            <w:r w:rsidR="00B5254C" w:rsidRPr="00FD383C">
              <w:t xml:space="preserve">ilgili </w:t>
            </w:r>
            <w:r w:rsidRPr="00FD383C">
              <w:t>hafta bitiminde doldurulacaktır.</w:t>
            </w:r>
          </w:p>
        </w:tc>
      </w:tr>
    </w:tbl>
    <w:p w14:paraId="340D91C6" w14:textId="77777777" w:rsidR="00E251B6" w:rsidRPr="00FD383C" w:rsidRDefault="00E251B6" w:rsidP="00E251B6">
      <w:pPr>
        <w:rPr>
          <w:b/>
        </w:rPr>
      </w:pP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  <w:r w:rsidRPr="00FD383C">
        <w:rPr>
          <w:b/>
        </w:rPr>
        <w:tab/>
      </w:r>
    </w:p>
    <w:p w14:paraId="079E19AC" w14:textId="77777777" w:rsidR="00020B87" w:rsidRPr="00FD383C" w:rsidRDefault="00020B87" w:rsidP="00020B87">
      <w:pPr>
        <w:rPr>
          <w:b/>
        </w:rPr>
      </w:pPr>
    </w:p>
    <w:p w14:paraId="574B8C90" w14:textId="77777777" w:rsidR="00020B87" w:rsidRPr="00FD383C" w:rsidRDefault="00020B87" w:rsidP="00020B87">
      <w:pPr>
        <w:rPr>
          <w:b/>
        </w:rPr>
      </w:pPr>
    </w:p>
    <w:p w14:paraId="085C492E" w14:textId="77777777" w:rsidR="00354E35" w:rsidRPr="00FD383C" w:rsidRDefault="00354E35" w:rsidP="00354E35">
      <w:pPr>
        <w:tabs>
          <w:tab w:val="left" w:pos="3569"/>
        </w:tabs>
        <w:jc w:val="right"/>
        <w:rPr>
          <w:b/>
        </w:rPr>
      </w:pPr>
      <w:r w:rsidRPr="00FD383C">
        <w:rPr>
          <w:b/>
        </w:rPr>
        <w:t>……………………..</w:t>
      </w:r>
    </w:p>
    <w:p w14:paraId="57702D85" w14:textId="77777777" w:rsidR="00020B87" w:rsidRPr="00FD383C" w:rsidRDefault="007D66DC" w:rsidP="00354E35">
      <w:pPr>
        <w:tabs>
          <w:tab w:val="left" w:pos="3569"/>
        </w:tabs>
        <w:jc w:val="right"/>
        <w:rPr>
          <w:b/>
        </w:rPr>
      </w:pPr>
      <w:r w:rsidRPr="00FD383C">
        <w:rPr>
          <w:b/>
        </w:rPr>
        <w:t>1</w:t>
      </w:r>
      <w:r w:rsidR="00354E35" w:rsidRPr="00FD383C">
        <w:rPr>
          <w:b/>
        </w:rPr>
        <w:t>/… Sınıf Öğretmeni</w:t>
      </w:r>
    </w:p>
    <w:p w14:paraId="058F2FEC" w14:textId="77777777" w:rsidR="00020B87" w:rsidRPr="00FD383C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FD383C" w:rsidRDefault="00863415" w:rsidP="00354E35">
      <w:pPr>
        <w:tabs>
          <w:tab w:val="left" w:pos="3569"/>
        </w:tabs>
        <w:jc w:val="center"/>
        <w:rPr>
          <w:b/>
        </w:rPr>
      </w:pPr>
      <w:r w:rsidRPr="00FD383C">
        <w:rPr>
          <w:b/>
        </w:rPr>
        <w:t>…/…./202</w:t>
      </w:r>
      <w:r w:rsidR="00DC21B2" w:rsidRPr="00FD383C">
        <w:rPr>
          <w:b/>
        </w:rPr>
        <w:t>5</w:t>
      </w:r>
    </w:p>
    <w:p w14:paraId="3FB799BE" w14:textId="77777777" w:rsidR="00D664D1" w:rsidRPr="00FD383C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FD383C" w:rsidRDefault="00354E35" w:rsidP="00354E35">
      <w:pPr>
        <w:tabs>
          <w:tab w:val="left" w:pos="3569"/>
        </w:tabs>
        <w:jc w:val="center"/>
        <w:rPr>
          <w:b/>
        </w:rPr>
      </w:pPr>
      <w:r w:rsidRPr="00FD383C">
        <w:rPr>
          <w:b/>
        </w:rPr>
        <w:t>………………………</w:t>
      </w:r>
    </w:p>
    <w:p w14:paraId="534B340C" w14:textId="77777777" w:rsidR="00D664D1" w:rsidRPr="00FD383C" w:rsidRDefault="00020B87" w:rsidP="00E06727">
      <w:pPr>
        <w:tabs>
          <w:tab w:val="left" w:pos="3569"/>
        </w:tabs>
        <w:jc w:val="center"/>
        <w:rPr>
          <w:b/>
        </w:rPr>
      </w:pPr>
      <w:r w:rsidRPr="00FD383C">
        <w:rPr>
          <w:b/>
        </w:rPr>
        <w:t>Okul Müdür</w:t>
      </w:r>
      <w:bookmarkEnd w:id="0"/>
      <w:bookmarkEnd w:id="1"/>
      <w:bookmarkEnd w:id="2"/>
      <w:r w:rsidR="00863415" w:rsidRPr="00FD383C">
        <w:rPr>
          <w:b/>
        </w:rPr>
        <w:t>ü</w:t>
      </w:r>
    </w:p>
    <w:sectPr w:rsidR="00D664D1" w:rsidRPr="00FD383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8B16F" w14:textId="77777777" w:rsidR="00685B28" w:rsidRDefault="00685B28" w:rsidP="00161E3C">
      <w:r>
        <w:separator/>
      </w:r>
    </w:p>
  </w:endnote>
  <w:endnote w:type="continuationSeparator" w:id="0">
    <w:p w14:paraId="27D06FA4" w14:textId="77777777" w:rsidR="00685B28" w:rsidRDefault="00685B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06502" w14:textId="77777777" w:rsidR="00685B28" w:rsidRDefault="00685B28" w:rsidP="00161E3C">
      <w:r>
        <w:separator/>
      </w:r>
    </w:p>
  </w:footnote>
  <w:footnote w:type="continuationSeparator" w:id="0">
    <w:p w14:paraId="513D2F38" w14:textId="77777777" w:rsidR="00685B28" w:rsidRDefault="00685B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85B28"/>
    <w:rsid w:val="00690284"/>
    <w:rsid w:val="00691349"/>
    <w:rsid w:val="006C4F48"/>
    <w:rsid w:val="006D0A79"/>
    <w:rsid w:val="006D115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D383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2024-08-16T19:20:00Z</dcterms:created>
  <dcterms:modified xsi:type="dcterms:W3CDTF">2025-02-26T06:41:00Z</dcterms:modified>
</cp:coreProperties>
</file>