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60630">
        <w:rPr>
          <w:b/>
        </w:rPr>
        <w:t>1</w:t>
      </w:r>
      <w:r w:rsidR="002F4C9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60630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776E0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F4C9A" w:rsidP="00042BEA">
            <w:pPr>
              <w:tabs>
                <w:tab w:val="left" w:pos="284"/>
              </w:tabs>
              <w:spacing w:line="240" w:lineRule="exact"/>
            </w:pPr>
            <w:r w:rsidRPr="002F4C9A">
              <w:rPr>
                <w:iCs/>
                <w:color w:val="404040" w:themeColor="text1" w:themeTint="BF"/>
              </w:rPr>
              <w:t>Bayrak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T.4.3.3. Şiir okur.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T.4.3.30. Metindeki renkli, altı çizili, koyu ifadelerin önemli noktaları vurguladığını kavrar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T.4.3.37. Okuduğu metindeki olaylara ilişkin düşüncelerini ifade eder.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T.4.4.7. Yazdıklarının içeriğine uygun başlık belirler.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T.4.4.9. Formları yönergelerine uygun doldurur.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2F4C9A" w:rsidRPr="002F4C9A" w:rsidRDefault="002F4C9A" w:rsidP="002F4C9A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  <w:p w:rsidR="000A1E34" w:rsidRPr="001422DA" w:rsidRDefault="002F4C9A" w:rsidP="00260630">
            <w:pPr>
              <w:rPr>
                <w:rFonts w:ascii="Tahoma" w:hAnsi="Tahoma" w:cs="Tahoma"/>
                <w:sz w:val="18"/>
                <w:szCs w:val="18"/>
              </w:rPr>
            </w:pPr>
            <w:r w:rsidRPr="002F4C9A">
              <w:rPr>
                <w:rFonts w:ascii="Tahoma" w:hAnsi="Tahoma" w:cs="Tahoma"/>
                <w:sz w:val="18"/>
                <w:szCs w:val="18"/>
              </w:rPr>
              <w:t>T.4.4.22. Pekiştirmeli sözcükleri doğru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F4C9A" w:rsidRPr="002F4C9A">
              <w:t>Bayrak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B91" w:rsidRDefault="00260630" w:rsidP="002F4C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0630">
              <w:rPr>
                <w:iCs/>
              </w:rPr>
              <w:t>"</w:t>
            </w:r>
            <w:r w:rsidR="002F4C9A" w:rsidRPr="002F4C9A">
              <w:rPr>
                <w:iCs/>
              </w:rPr>
              <w:t>Bayrağımızın şekli ve renkleri nasıldır?</w:t>
            </w:r>
            <w:r w:rsidR="002F4C9A">
              <w:rPr>
                <w:iCs/>
              </w:rPr>
              <w:t xml:space="preserve"> </w:t>
            </w:r>
            <w:r w:rsidR="002F4C9A" w:rsidRPr="002F4C9A">
              <w:rPr>
                <w:iCs/>
              </w:rPr>
              <w:t>Bayrağımıza saygınızı nasıl gösteriyorsunuz?</w:t>
            </w:r>
            <w:r w:rsidR="002F4C9A">
              <w:rPr>
                <w:iCs/>
              </w:rPr>
              <w:t>”</w:t>
            </w:r>
            <w:r w:rsidR="00773583">
              <w:rPr>
                <w:iCs/>
              </w:rPr>
              <w:t xml:space="preserve"> Sorularıyla öğrenciler konuşturulur.</w:t>
            </w:r>
          </w:p>
          <w:p w:rsidR="00773583" w:rsidRDefault="00773583" w:rsidP="002F4C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3583">
              <w:rPr>
                <w:iCs/>
              </w:rPr>
              <w:t>Şiir, vurgu ve tonlamaya dikkat ederek sesli ok</w:t>
            </w:r>
            <w:r>
              <w:rPr>
                <w:iCs/>
              </w:rPr>
              <w:t>utulur.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3583">
              <w:rPr>
                <w:iCs/>
              </w:rPr>
              <w:t>Etkinlikteki</w:t>
            </w:r>
            <w:r w:rsidRPr="00773583">
              <w:rPr>
                <w:iCs/>
              </w:rPr>
              <w:t xml:space="preserve"> tabloda okudu</w:t>
            </w:r>
            <w:r w:rsidRPr="00773583">
              <w:rPr>
                <w:iCs/>
              </w:rPr>
              <w:t>kları</w:t>
            </w:r>
            <w:r w:rsidRPr="00773583">
              <w:rPr>
                <w:iCs/>
              </w:rPr>
              <w:t xml:space="preserve"> metinden alınan bazı kelimelerin ilk ve son harfleri</w:t>
            </w:r>
            <w:r w:rsidRPr="00773583">
              <w:rPr>
                <w:iCs/>
              </w:rPr>
              <w:t>nin verildiği belirtilir.</w:t>
            </w:r>
            <w:r w:rsidRPr="00773583">
              <w:rPr>
                <w:iCs/>
              </w:rPr>
              <w:t xml:space="preserve"> Çizgilerin üzerine uygun harfleri yazarak kelimeleri tamamla</w:t>
            </w:r>
            <w:r w:rsidRPr="00773583">
              <w:rPr>
                <w:iCs/>
              </w:rPr>
              <w:t>maları, t</w:t>
            </w:r>
            <w:r w:rsidRPr="00773583">
              <w:rPr>
                <w:iCs/>
              </w:rPr>
              <w:t>amamladı</w:t>
            </w:r>
            <w:r w:rsidRPr="00773583">
              <w:rPr>
                <w:iCs/>
              </w:rPr>
              <w:t>kları</w:t>
            </w:r>
            <w:r w:rsidRPr="00773583">
              <w:rPr>
                <w:iCs/>
              </w:rPr>
              <w:t xml:space="preserve"> kelimelerin anlamlarını, şiirde geçtiği dizeden hareketle tahmin</w:t>
            </w:r>
            <w:r w:rsidRPr="00773583">
              <w:rPr>
                <w:iCs/>
              </w:rPr>
              <w:t xml:space="preserve"> </w:t>
            </w:r>
            <w:r w:rsidRPr="00773583">
              <w:rPr>
                <w:iCs/>
              </w:rPr>
              <w:t>ederek yaz</w:t>
            </w:r>
            <w:r>
              <w:rPr>
                <w:iCs/>
              </w:rPr>
              <w:t>maları, t</w:t>
            </w:r>
            <w:r w:rsidRPr="00773583">
              <w:rPr>
                <w:iCs/>
              </w:rPr>
              <w:t>ahminlerini sözlük anlamlarıyla karşılaştırdıktan sonra kelimeleri</w:t>
            </w:r>
            <w:r>
              <w:rPr>
                <w:iCs/>
              </w:rPr>
              <w:t xml:space="preserve"> </w:t>
            </w:r>
            <w:r w:rsidRPr="00773583">
              <w:rPr>
                <w:iCs/>
              </w:rPr>
              <w:t xml:space="preserve">cümle içerisinde </w:t>
            </w:r>
            <w:r>
              <w:rPr>
                <w:iCs/>
              </w:rPr>
              <w:t>kullanmaları istenir. (Etkinlik 1)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Şiirle ilgili sorular cevaplatılır. (Etkinlik 2)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 en iyi yansıtan görseli işaretlemeleri istenir. (Etkinlik 3)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 okurken hissettiklerini yazmaları istenir. (Etkinlik 4)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Pekiştirme etkinliği yaptırılır. (Etkinlik 5)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3583">
              <w:rPr>
                <w:iCs/>
              </w:rPr>
              <w:t>“Sonraki Derse Hazırlık” aşamasında yaptı</w:t>
            </w:r>
            <w:r w:rsidRPr="00773583">
              <w:rPr>
                <w:iCs/>
              </w:rPr>
              <w:t>kları</w:t>
            </w:r>
            <w:r w:rsidRPr="00773583">
              <w:rPr>
                <w:iCs/>
              </w:rPr>
              <w:t xml:space="preserve"> araştırma sonucunda edindi</w:t>
            </w:r>
            <w:r w:rsidRPr="00773583">
              <w:rPr>
                <w:iCs/>
              </w:rPr>
              <w:t xml:space="preserve">kleri </w:t>
            </w:r>
            <w:r w:rsidRPr="00773583">
              <w:rPr>
                <w:iCs/>
              </w:rPr>
              <w:t>bilgileri arkadaşların</w:t>
            </w:r>
            <w:r w:rsidRPr="00773583">
              <w:rPr>
                <w:iCs/>
              </w:rPr>
              <w:t>a</w:t>
            </w:r>
            <w:r w:rsidRPr="00773583">
              <w:rPr>
                <w:iCs/>
              </w:rPr>
              <w:t xml:space="preserve"> </w:t>
            </w:r>
            <w:r w:rsidRPr="00773583">
              <w:rPr>
                <w:iCs/>
              </w:rPr>
              <w:t>sunmaları, s</w:t>
            </w:r>
            <w:r w:rsidRPr="00773583">
              <w:rPr>
                <w:iCs/>
              </w:rPr>
              <w:t>unum</w:t>
            </w:r>
            <w:r w:rsidRPr="00773583">
              <w:rPr>
                <w:iCs/>
              </w:rPr>
              <w:t>larını</w:t>
            </w:r>
            <w:r w:rsidRPr="00773583">
              <w:rPr>
                <w:iCs/>
              </w:rPr>
              <w:t xml:space="preserve"> yaparken sınıfa getirdi</w:t>
            </w:r>
            <w:r w:rsidRPr="00773583">
              <w:rPr>
                <w:iCs/>
              </w:rPr>
              <w:t>kleri</w:t>
            </w:r>
            <w:r w:rsidRPr="00773583">
              <w:rPr>
                <w:iCs/>
              </w:rPr>
              <w:t xml:space="preserve"> görselleri</w:t>
            </w:r>
            <w:r w:rsidRPr="00773583">
              <w:rPr>
                <w:iCs/>
              </w:rPr>
              <w:t xml:space="preserve"> </w:t>
            </w:r>
            <w:r w:rsidRPr="00773583">
              <w:rPr>
                <w:iCs/>
              </w:rPr>
              <w:t xml:space="preserve">uygun yerde </w:t>
            </w:r>
            <w:r>
              <w:rPr>
                <w:iCs/>
              </w:rPr>
              <w:t>kullanmaları istenir.</w:t>
            </w:r>
            <w:r w:rsidRPr="00773583">
              <w:rPr>
                <w:iCs/>
              </w:rPr>
              <w:t xml:space="preserve"> Sunumun ardından kendi</w:t>
            </w:r>
            <w:r>
              <w:rPr>
                <w:iCs/>
              </w:rPr>
              <w:t xml:space="preserve">lerini ders kitabındaki </w:t>
            </w:r>
            <w:r w:rsidRPr="00773583">
              <w:rPr>
                <w:iCs/>
              </w:rPr>
              <w:t xml:space="preserve">ölçütlere göre </w:t>
            </w:r>
            <w:r>
              <w:rPr>
                <w:iCs/>
              </w:rPr>
              <w:t>değerlendirmeleri istenir. (Etkinlik 6)</w:t>
            </w:r>
          </w:p>
          <w:p w:rsidR="00773583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Türk bayrağı konulu kısa bir şiir yazmaları istenir. (Etkinlik 7)</w:t>
            </w:r>
          </w:p>
          <w:p w:rsidR="00773583" w:rsidRPr="00410774" w:rsidRDefault="00773583" w:rsidP="007735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3583">
              <w:rPr>
                <w:iCs/>
              </w:rPr>
              <w:t xml:space="preserve">Sonraki derse hazırlık kapsamında </w:t>
            </w:r>
            <w:r w:rsidRPr="00773583">
              <w:rPr>
                <w:iCs/>
              </w:rPr>
              <w:t xml:space="preserve">Geleneksel Türk müzik aletlerini </w:t>
            </w:r>
            <w:r w:rsidRPr="00773583">
              <w:rPr>
                <w:iCs/>
              </w:rPr>
              <w:t xml:space="preserve">araştırmaları istenir. </w:t>
            </w:r>
            <w:r w:rsidRPr="00773583">
              <w:rPr>
                <w:iCs/>
              </w:rPr>
              <w:t>Sevdi</w:t>
            </w:r>
            <w:r>
              <w:rPr>
                <w:iCs/>
              </w:rPr>
              <w:t>kleri</w:t>
            </w:r>
            <w:r w:rsidRPr="00773583">
              <w:rPr>
                <w:iCs/>
              </w:rPr>
              <w:t xml:space="preserve"> türküleri defterin</w:t>
            </w:r>
            <w:r>
              <w:rPr>
                <w:iCs/>
              </w:rPr>
              <w:t>e</w:t>
            </w:r>
            <w:r w:rsidRPr="00773583">
              <w:rPr>
                <w:iCs/>
              </w:rPr>
              <w:t xml:space="preserve"> </w:t>
            </w:r>
            <w:r>
              <w:rPr>
                <w:iCs/>
              </w:rPr>
              <w:t>yazmaları, b</w:t>
            </w:r>
            <w:r w:rsidRPr="00773583">
              <w:rPr>
                <w:iCs/>
              </w:rPr>
              <w:t>u türkülerin, ülkemizde hangi bölgelere ait</w:t>
            </w:r>
            <w:r>
              <w:rPr>
                <w:iCs/>
              </w:rPr>
              <w:t xml:space="preserve"> </w:t>
            </w:r>
            <w:r w:rsidRPr="00773583">
              <w:rPr>
                <w:iCs/>
              </w:rPr>
              <w:t xml:space="preserve">olduğunu </w:t>
            </w:r>
            <w:r>
              <w:rPr>
                <w:iCs/>
              </w:rPr>
              <w:t>araştırmaları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4C9A" w:rsidRDefault="002F4C9A" w:rsidP="002F4C9A">
            <w:r>
              <w:t>Öğrencilerin izledikleri bir filmi tanıtmaları, görüş ve düşüncelerini belirterek anlatmaları sağlanır.</w:t>
            </w:r>
          </w:p>
          <w:p w:rsidR="002F4C9A" w:rsidRDefault="002F4C9A" w:rsidP="002F4C9A">
            <w:r>
              <w:t>Öğrencilerin verilen bir konuyu görsellerle destekleyerek kısa sunum hazırlamaları ve prova yapmaları sağlanır.</w:t>
            </w:r>
          </w:p>
          <w:p w:rsidR="002F4C9A" w:rsidRDefault="002F4C9A" w:rsidP="002F4C9A">
            <w:r>
              <w:t>Nezaket kurallarına uygun konuşulması gerektiği hatırlatılır.</w:t>
            </w:r>
          </w:p>
          <w:p w:rsidR="002F4C9A" w:rsidRDefault="002F4C9A" w:rsidP="002F4C9A">
            <w:r>
              <w:t>Beden dilini etkin kullanmanın önemi vurgulanır.</w:t>
            </w:r>
          </w:p>
          <w:p w:rsidR="002F4C9A" w:rsidRDefault="002F4C9A" w:rsidP="002F4C9A">
            <w:r>
              <w:t>Hikâye edici ve bilgilendirici metinler ile şiir okutulur.</w:t>
            </w:r>
          </w:p>
          <w:p w:rsidR="002F4C9A" w:rsidRDefault="002F4C9A" w:rsidP="002F4C9A">
            <w:r>
              <w:t>Öğrenciler yazdıklarını dil bilgisi ve anlatım bozuklukları yönünden kontrol etmeye teşvik edilir.</w:t>
            </w:r>
          </w:p>
          <w:p w:rsidR="002F4C9A" w:rsidRDefault="002F4C9A" w:rsidP="002F4C9A">
            <w:r>
              <w:t>Sınıf düzeyine uygun yazım ve noktalama kuralları ile sınırlı tutulur.</w:t>
            </w:r>
          </w:p>
          <w:p w:rsidR="002F4C9A" w:rsidRDefault="002F4C9A" w:rsidP="002F4C9A">
            <w:r>
              <w:t>Öğrenciler yazdıklarını sınıf içinde okumaları, okul veya sınıf panosunda sergilemeleri için teşvik edilir.</w:t>
            </w:r>
          </w:p>
          <w:p w:rsidR="000A1E34" w:rsidRPr="0083125C" w:rsidRDefault="002F4C9A" w:rsidP="002F4C9A">
            <w:r>
              <w:t>Öğrencilere yazdıklarını sınıf içinde okumaları konusunda ısrar edilmemelidir.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B40" w:rsidRDefault="00CB0B40" w:rsidP="00161E3C">
      <w:r>
        <w:separator/>
      </w:r>
    </w:p>
  </w:endnote>
  <w:endnote w:type="continuationSeparator" w:id="0">
    <w:p w:rsidR="00CB0B40" w:rsidRDefault="00CB0B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B40" w:rsidRDefault="00CB0B40" w:rsidP="00161E3C">
      <w:r>
        <w:separator/>
      </w:r>
    </w:p>
  </w:footnote>
  <w:footnote w:type="continuationSeparator" w:id="0">
    <w:p w:rsidR="00CB0B40" w:rsidRDefault="00CB0B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5630"/>
    <w:rsid w:val="002F0396"/>
    <w:rsid w:val="002F18CB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80450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EB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B680B-72A4-4B19-8021-B65045BF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2019-12-29T12:01:00Z</dcterms:created>
  <dcterms:modified xsi:type="dcterms:W3CDTF">2019-12-29T12:01:00Z</dcterms:modified>
</cp:coreProperties>
</file>